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sz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</w:rPr>
        <w:t>化学工业出版社电子图书馆平台</w:t>
      </w:r>
      <w:r>
        <w:rPr>
          <w:rFonts w:hint="eastAsia" w:ascii="黑体" w:hAnsi="黑体" w:eastAsia="黑体"/>
          <w:sz w:val="32"/>
          <w:lang w:eastAsia="zh-CN"/>
        </w:rPr>
        <w:t>试用</w:t>
      </w:r>
      <w:bookmarkEnd w:id="0"/>
      <w:r>
        <w:rPr>
          <w:rFonts w:hint="eastAsia" w:ascii="黑体" w:hAnsi="黑体" w:eastAsia="黑体"/>
          <w:sz w:val="32"/>
          <w:lang w:eastAsia="zh-CN"/>
        </w:rPr>
        <w:t>说明</w:t>
      </w:r>
    </w:p>
    <w:tbl>
      <w:tblPr>
        <w:tblStyle w:val="15"/>
        <w:tblW w:w="8296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223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产品名称</w:t>
            </w:r>
          </w:p>
        </w:tc>
        <w:tc>
          <w:tcPr>
            <w:tcW w:w="6770" w:type="dxa"/>
            <w:gridSpan w:val="3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化学工业出版社电子图书馆平台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访问地址</w:t>
            </w:r>
          </w:p>
        </w:tc>
        <w:tc>
          <w:tcPr>
            <w:tcW w:w="6770" w:type="dxa"/>
            <w:gridSpan w:val="3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www.cipread.com（阅读端）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产品形态</w:t>
            </w:r>
          </w:p>
        </w:tc>
        <w:tc>
          <w:tcPr>
            <w:tcW w:w="2977" w:type="dxa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在线版、镜像版</w:t>
            </w:r>
          </w:p>
        </w:tc>
        <w:tc>
          <w:tcPr>
            <w:tcW w:w="1559" w:type="dxa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免费试用期</w:t>
            </w:r>
          </w:p>
        </w:tc>
        <w:tc>
          <w:tcPr>
            <w:tcW w:w="2234" w:type="dxa"/>
          </w:tcPr>
          <w:p>
            <w:pPr>
              <w:spacing w:line="60" w:lineRule="atLeast"/>
              <w:jc w:val="center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2020.6.1—2020.9.1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出版</w:t>
            </w:r>
            <w:r>
              <w:rPr>
                <w:rFonts w:hint="eastAsia" w:ascii="微软雅黑" w:hAnsi="微软雅黑" w:eastAsia="微软雅黑"/>
                <w:b/>
              </w:rPr>
              <w:t>单位</w:t>
            </w:r>
          </w:p>
        </w:tc>
        <w:tc>
          <w:tcPr>
            <w:tcW w:w="6770" w:type="dxa"/>
            <w:gridSpan w:val="3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化学工业出版社（有6</w:t>
            </w:r>
            <w:r>
              <w:rPr>
                <w:rFonts w:ascii="微软雅黑" w:hAnsi="微软雅黑" w:eastAsia="微软雅黑"/>
              </w:rPr>
              <w:t>5年历史的</w:t>
            </w:r>
            <w:r>
              <w:rPr>
                <w:rFonts w:hint="eastAsia" w:ascii="微软雅黑" w:hAnsi="微软雅黑" w:eastAsia="微软雅黑"/>
              </w:rPr>
              <w:t>国</w:t>
            </w:r>
            <w:r>
              <w:rPr>
                <w:rFonts w:ascii="微软雅黑" w:hAnsi="微软雅黑" w:eastAsia="微软雅黑"/>
              </w:rPr>
              <w:t>家一级出版</w:t>
            </w:r>
            <w:r>
              <w:rPr>
                <w:rFonts w:hint="eastAsia" w:ascii="微软雅黑" w:hAnsi="微软雅黑" w:eastAsia="微软雅黑"/>
              </w:rPr>
              <w:t>社</w:t>
            </w:r>
            <w:r>
              <w:rPr>
                <w:rFonts w:ascii="微软雅黑" w:hAnsi="微软雅黑" w:eastAsia="微软雅黑"/>
              </w:rPr>
              <w:t>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独有优势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snapToGrid w:val="0"/>
              <w:ind w:left="0" w:hanging="357"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化学工业出版社新书实现</w:t>
            </w:r>
            <w:r>
              <w:rPr>
                <w:rFonts w:ascii="微软雅黑" w:hAnsi="微软雅黑" w:eastAsia="微软雅黑"/>
                <w:b/>
              </w:rPr>
              <w:t>纸电同步</w:t>
            </w:r>
            <w:r>
              <w:rPr>
                <w:rFonts w:ascii="微软雅黑" w:hAnsi="微软雅黑" w:eastAsia="微软雅黑"/>
              </w:rPr>
              <w:t>；</w:t>
            </w:r>
          </w:p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snapToGrid w:val="0"/>
              <w:ind w:left="0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可以支持P</w:t>
            </w:r>
            <w:r>
              <w:rPr>
                <w:rFonts w:ascii="微软雅黑" w:hAnsi="微软雅黑" w:eastAsia="微软雅黑"/>
              </w:rPr>
              <w:t>+E(</w:t>
            </w:r>
            <w:r>
              <w:rPr>
                <w:rFonts w:ascii="微软雅黑" w:hAnsi="微软雅黑" w:eastAsia="微软雅黑"/>
                <w:b/>
              </w:rPr>
              <w:t>纸电同采</w:t>
            </w:r>
            <w:r>
              <w:rPr>
                <w:rFonts w:hint="eastAsia" w:ascii="微软雅黑" w:hAnsi="微软雅黑" w:eastAsia="微软雅黑"/>
              </w:rPr>
              <w:t>)</w:t>
            </w:r>
            <w:r>
              <w:rPr>
                <w:rFonts w:ascii="微软雅黑" w:hAnsi="微软雅黑" w:eastAsia="微软雅黑"/>
              </w:rPr>
              <w:t xml:space="preserve">一站式服务； </w:t>
            </w:r>
          </w:p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snapToGrid w:val="0"/>
              <w:ind w:left="0" w:hanging="357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自出自营，</w:t>
            </w:r>
            <w:r>
              <w:rPr>
                <w:rFonts w:hint="eastAsia" w:ascii="微软雅黑" w:hAnsi="微软雅黑" w:eastAsia="微软雅黑"/>
                <w:b/>
              </w:rPr>
              <w:t>1</w:t>
            </w:r>
            <w:r>
              <w:rPr>
                <w:rFonts w:ascii="微软雅黑" w:hAnsi="微软雅黑" w:eastAsia="微软雅黑"/>
                <w:b/>
              </w:rPr>
              <w:t>00%</w:t>
            </w:r>
            <w:r>
              <w:rPr>
                <w:rFonts w:hint="eastAsia" w:ascii="微软雅黑" w:hAnsi="微软雅黑" w:eastAsia="微软雅黑"/>
                <w:b/>
              </w:rPr>
              <w:t>正版</w:t>
            </w:r>
            <w:r>
              <w:rPr>
                <w:rFonts w:hint="eastAsia" w:ascii="微软雅黑" w:hAnsi="微软雅黑" w:eastAsia="微软雅黑"/>
              </w:rPr>
              <w:t>资源，绝无后顾之忧</w:t>
            </w:r>
            <w:r>
              <w:rPr>
                <w:rFonts w:ascii="微软雅黑" w:hAnsi="微软雅黑" w:eastAsia="微软雅黑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资源数量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pStyle w:val="14"/>
              <w:numPr>
                <w:ilvl w:val="0"/>
                <w:numId w:val="2"/>
              </w:numPr>
              <w:autoSpaceDE w:val="0"/>
              <w:autoSpaceDN w:val="0"/>
              <w:snapToGrid w:val="0"/>
              <w:ind w:left="0"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提供2</w:t>
            </w:r>
            <w:r>
              <w:rPr>
                <w:rFonts w:ascii="微软雅黑" w:hAnsi="微软雅黑" w:eastAsia="微软雅黑"/>
              </w:rPr>
              <w:t>9900余种正版电子书（</w:t>
            </w:r>
            <w:r>
              <w:rPr>
                <w:rFonts w:hint="eastAsia" w:ascii="微软雅黑" w:hAnsi="微软雅黑" w:eastAsia="微软雅黑"/>
              </w:rPr>
              <w:t>截至2</w:t>
            </w:r>
            <w:r>
              <w:rPr>
                <w:rFonts w:ascii="微软雅黑" w:hAnsi="微软雅黑" w:eastAsia="微软雅黑"/>
              </w:rPr>
              <w:t>019年</w:t>
            </w:r>
            <w:r>
              <w:rPr>
                <w:rFonts w:hint="eastAsia" w:ascii="微软雅黑" w:hAnsi="微软雅黑" w:eastAsia="微软雅黑"/>
              </w:rPr>
              <w:t>2月底，每周更新）；</w:t>
            </w:r>
          </w:p>
          <w:p>
            <w:pPr>
              <w:pStyle w:val="14"/>
              <w:numPr>
                <w:ilvl w:val="0"/>
                <w:numId w:val="2"/>
              </w:numPr>
              <w:autoSpaceDE w:val="0"/>
              <w:autoSpaceDN w:val="0"/>
              <w:snapToGrid w:val="0"/>
              <w:ind w:left="0" w:firstLineChars="0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提供近</w:t>
            </w:r>
            <w:r>
              <w:rPr>
                <w:rFonts w:hint="eastAsia" w:ascii="微软雅黑" w:hAnsi="微软雅黑" w:eastAsia="微软雅黑"/>
              </w:rPr>
              <w:t>1</w:t>
            </w:r>
            <w:r>
              <w:rPr>
                <w:rFonts w:ascii="微软雅黑" w:hAnsi="微软雅黑" w:eastAsia="微软雅黑"/>
              </w:rPr>
              <w:t>800种化工行业相关标准。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覆盖专业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化学、化工</w:t>
            </w:r>
            <w:r>
              <w:rPr>
                <w:rFonts w:ascii="微软雅黑" w:hAnsi="微软雅黑" w:eastAsia="微软雅黑"/>
              </w:rPr>
              <w:t>、材料、轻工、农业、生物、医药、环境、安全</w:t>
            </w:r>
            <w:r>
              <w:rPr>
                <w:rFonts w:hint="eastAsia" w:ascii="微软雅黑" w:hAnsi="微软雅黑" w:eastAsia="微软雅黑"/>
              </w:rPr>
              <w:t>、能源、冶金和矿业、机械、电工电子、汽车、计算机、建筑、</w:t>
            </w:r>
            <w:r>
              <w:rPr>
                <w:rFonts w:hint="eastAsia" w:ascii="微软雅黑" w:hAnsi="微软雅黑" w:eastAsia="微软雅黑"/>
                <w:b/>
              </w:rPr>
              <w:t>经管</w:t>
            </w:r>
            <w:r>
              <w:rPr>
                <w:rFonts w:hint="eastAsia" w:ascii="微软雅黑" w:hAnsi="微软雅黑" w:eastAsia="微软雅黑"/>
              </w:rPr>
              <w:t>、艺术设计、生活（健康、旅游、外语……）、社科、少儿、文艺等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spacing w:line="60" w:lineRule="atLeas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产品特色</w:t>
            </w:r>
          </w:p>
        </w:tc>
        <w:tc>
          <w:tcPr>
            <w:tcW w:w="6770" w:type="dxa"/>
            <w:gridSpan w:val="3"/>
          </w:tcPr>
          <w:p>
            <w:pPr>
              <w:autoSpaceDE w:val="0"/>
              <w:autoSpaceDN w:val="0"/>
              <w:snapToGrid w:val="0"/>
              <w:spacing w:before="156" w:beforeLines="50" w:after="156" w:afterLines="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1</w:t>
            </w:r>
            <w:r>
              <w:rPr>
                <w:rFonts w:ascii="微软雅黑" w:hAnsi="微软雅黑" w:eastAsia="微软雅黑"/>
                <w:b/>
              </w:rPr>
              <w:t>.</w:t>
            </w:r>
            <w:r>
              <w:rPr>
                <w:rFonts w:hint="eastAsia" w:ascii="微软雅黑" w:hAnsi="微软雅黑" w:eastAsia="微软雅黑"/>
                <w:b/>
              </w:rPr>
              <w:t>符合主流产品使用习惯。</w:t>
            </w:r>
            <w:r>
              <w:rPr>
                <w:rFonts w:hint="eastAsia" w:ascii="微软雅黑" w:hAnsi="微软雅黑" w:eastAsia="微软雅黑"/>
              </w:rPr>
              <w:t>本平台专注数字阅读及应用，正文提供</w:t>
            </w:r>
            <w:r>
              <w:rPr>
                <w:rFonts w:hint="eastAsia" w:ascii="微软雅黑" w:hAnsi="微软雅黑" w:eastAsia="微软雅黑"/>
                <w:u w:val="single"/>
              </w:rPr>
              <w:t>全文检索</w:t>
            </w:r>
            <w:r>
              <w:rPr>
                <w:rFonts w:hint="eastAsia" w:ascii="微软雅黑" w:hAnsi="微软雅黑" w:eastAsia="微软雅黑"/>
              </w:rPr>
              <w:t>功能，</w:t>
            </w:r>
            <w:r>
              <w:rPr>
                <w:rFonts w:hint="eastAsia" w:ascii="微软雅黑" w:hAnsi="微软雅黑" w:eastAsia="微软雅黑"/>
                <w:u w:val="single"/>
              </w:rPr>
              <w:t>文字内容可以拷贝</w:t>
            </w:r>
            <w:r>
              <w:rPr>
                <w:rFonts w:hint="eastAsia" w:ascii="微软雅黑" w:hAnsi="微软雅黑" w:eastAsia="微软雅黑"/>
              </w:rPr>
              <w:t>。</w:t>
            </w:r>
          </w:p>
          <w:p>
            <w:pPr>
              <w:autoSpaceDE w:val="0"/>
              <w:autoSpaceDN w:val="0"/>
              <w:snapToGrid w:val="0"/>
              <w:spacing w:before="156" w:beforeLines="50" w:after="156" w:afterLines="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2</w:t>
            </w:r>
            <w:r>
              <w:rPr>
                <w:rFonts w:ascii="微软雅黑" w:hAnsi="微软雅黑" w:eastAsia="微软雅黑"/>
                <w:b/>
              </w:rPr>
              <w:t>.高清资源更方便使用。</w:t>
            </w:r>
            <w:r>
              <w:rPr>
                <w:rFonts w:ascii="微软雅黑" w:hAnsi="微软雅黑" w:eastAsia="微软雅黑"/>
              </w:rPr>
              <w:t>平台入库的所有电子书都是经过原始排版文件数字化加工而成，绝非扫描，</w:t>
            </w:r>
            <w:r>
              <w:rPr>
                <w:rFonts w:ascii="微软雅黑" w:hAnsi="微软雅黑" w:eastAsia="微软雅黑"/>
                <w:u w:val="single"/>
              </w:rPr>
              <w:t>阅读更清晰、引用更方便</w:t>
            </w:r>
            <w:r>
              <w:rPr>
                <w:rFonts w:ascii="微软雅黑" w:hAnsi="微软雅黑" w:eastAsia="微软雅黑"/>
              </w:rPr>
              <w:t>。</w:t>
            </w:r>
          </w:p>
          <w:p>
            <w:pPr>
              <w:autoSpaceDE w:val="0"/>
              <w:autoSpaceDN w:val="0"/>
              <w:snapToGrid w:val="0"/>
              <w:spacing w:before="156" w:beforeLines="50" w:after="156" w:afterLines="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3</w:t>
            </w:r>
            <w:r>
              <w:rPr>
                <w:rFonts w:ascii="微软雅黑" w:hAnsi="微软雅黑" w:eastAsia="微软雅黑"/>
                <w:b/>
              </w:rPr>
              <w:t>.可与图书馆自有平台对接。</w:t>
            </w:r>
            <w:r>
              <w:rPr>
                <w:rFonts w:ascii="微软雅黑" w:hAnsi="微软雅黑" w:eastAsia="微软雅黑"/>
              </w:rPr>
              <w:t>本平台可免费提供元数据，实现与校图书馆自主平台的对接，方便师生</w:t>
            </w:r>
            <w:r>
              <w:rPr>
                <w:rFonts w:ascii="微软雅黑" w:hAnsi="微软雅黑" w:eastAsia="微软雅黑"/>
                <w:u w:val="single"/>
              </w:rPr>
              <w:t>一站式访问使用</w:t>
            </w:r>
            <w:r>
              <w:rPr>
                <w:rFonts w:ascii="微软雅黑" w:hAnsi="微软雅黑" w:eastAsia="微软雅黑"/>
              </w:rPr>
              <w:t>。</w:t>
            </w:r>
          </w:p>
          <w:p>
            <w:pPr>
              <w:autoSpaceDE w:val="0"/>
              <w:autoSpaceDN w:val="0"/>
              <w:snapToGrid w:val="0"/>
              <w:spacing w:before="156" w:beforeLines="50" w:after="156" w:afterLines="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4</w:t>
            </w:r>
            <w:r>
              <w:rPr>
                <w:rFonts w:ascii="微软雅黑" w:hAnsi="微软雅黑" w:eastAsia="微软雅黑"/>
                <w:b/>
              </w:rPr>
              <w:t>.</w:t>
            </w:r>
            <w:r>
              <w:rPr>
                <w:rFonts w:hint="eastAsia" w:ascii="微软雅黑" w:hAnsi="微软雅黑" w:eastAsia="微软雅黑"/>
                <w:b/>
              </w:rPr>
              <w:t>可以</w:t>
            </w:r>
            <w:r>
              <w:rPr>
                <w:rFonts w:ascii="微软雅黑" w:hAnsi="微软雅黑" w:eastAsia="微软雅黑"/>
                <w:b/>
              </w:rPr>
              <w:t>个性化</w:t>
            </w:r>
            <w:r>
              <w:rPr>
                <w:rFonts w:hint="eastAsia" w:ascii="微软雅黑" w:hAnsi="微软雅黑" w:eastAsia="微软雅黑"/>
                <w:b/>
              </w:rPr>
              <w:t>配</w:t>
            </w:r>
            <w:r>
              <w:rPr>
                <w:rFonts w:ascii="微软雅黑" w:hAnsi="微软雅黑" w:eastAsia="微软雅黑"/>
                <w:b/>
              </w:rPr>
              <w:t>库。</w:t>
            </w:r>
            <w:r>
              <w:rPr>
                <w:rFonts w:ascii="微软雅黑" w:hAnsi="微软雅黑" w:eastAsia="微软雅黑"/>
              </w:rPr>
              <w:t>采编人员即可以在平台自主配库选购，也可以由化工社工作人员根据采编老师的需求提供</w:t>
            </w:r>
            <w:r>
              <w:rPr>
                <w:rFonts w:hint="eastAsia" w:ascii="微软雅黑" w:hAnsi="微软雅黑" w:eastAsia="微软雅黑"/>
                <w:u w:val="single"/>
              </w:rPr>
              <w:t>点</w:t>
            </w:r>
            <w:r>
              <w:rPr>
                <w:rFonts w:ascii="微软雅黑" w:hAnsi="微软雅黑" w:eastAsia="微软雅黑"/>
                <w:u w:val="single"/>
              </w:rPr>
              <w:t>对点</w:t>
            </w:r>
            <w:r>
              <w:rPr>
                <w:rFonts w:hint="eastAsia" w:ascii="微软雅黑" w:hAnsi="微软雅黑" w:eastAsia="微软雅黑"/>
                <w:u w:val="single"/>
              </w:rPr>
              <w:t>服</w:t>
            </w:r>
            <w:r>
              <w:rPr>
                <w:rFonts w:ascii="微软雅黑" w:hAnsi="微软雅黑" w:eastAsia="微软雅黑"/>
                <w:u w:val="single"/>
              </w:rPr>
              <w:t>务</w:t>
            </w:r>
            <w:r>
              <w:rPr>
                <w:rFonts w:ascii="微软雅黑" w:hAnsi="微软雅黑" w:eastAsia="微软雅黑"/>
              </w:rPr>
              <w:t>。</w:t>
            </w:r>
          </w:p>
          <w:p>
            <w:pPr>
              <w:autoSpaceDE w:val="0"/>
              <w:autoSpaceDN w:val="0"/>
              <w:snapToGrid w:val="0"/>
              <w:spacing w:before="156" w:beforeLines="50" w:after="156" w:afterLines="5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5</w:t>
            </w:r>
            <w:r>
              <w:rPr>
                <w:rFonts w:ascii="微软雅黑" w:hAnsi="微软雅黑" w:eastAsia="微软雅黑"/>
                <w:b/>
              </w:rPr>
              <w:t>.提供全流程服务。</w:t>
            </w:r>
            <w:r>
              <w:rPr>
                <w:rFonts w:ascii="微软雅黑" w:hAnsi="微软雅黑" w:eastAsia="微软雅黑"/>
              </w:rPr>
              <w:t>化工社可为图书馆免费</w:t>
            </w:r>
            <w:r>
              <w:rPr>
                <w:rFonts w:hint="eastAsia" w:ascii="微软雅黑" w:hAnsi="微软雅黑" w:eastAsia="微软雅黑"/>
              </w:rPr>
              <w:t>提</w:t>
            </w:r>
            <w:r>
              <w:rPr>
                <w:rFonts w:ascii="微软雅黑" w:hAnsi="微软雅黑" w:eastAsia="微软雅黑"/>
              </w:rPr>
              <w:t>供前期配库、中期安装部署、后期使用反馈和升级的</w:t>
            </w:r>
            <w:r>
              <w:rPr>
                <w:rFonts w:ascii="微软雅黑" w:hAnsi="微软雅黑" w:eastAsia="微软雅黑"/>
                <w:u w:val="single"/>
              </w:rPr>
              <w:t>全流程服务</w:t>
            </w:r>
            <w:r>
              <w:rPr>
                <w:rFonts w:ascii="微软雅黑" w:hAnsi="微软雅黑" w:eastAsia="微软雅黑"/>
              </w:rPr>
              <w:t>。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8AE"/>
    <w:multiLevelType w:val="multilevel"/>
    <w:tmpl w:val="167A68AE"/>
    <w:lvl w:ilvl="0" w:tentative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8" w:hanging="420"/>
      </w:pPr>
    </w:lvl>
    <w:lvl w:ilvl="2" w:tentative="0">
      <w:start w:val="1"/>
      <w:numFmt w:val="lowerRoman"/>
      <w:lvlText w:val="%3."/>
      <w:lvlJc w:val="right"/>
      <w:pPr>
        <w:ind w:left="1368" w:hanging="420"/>
      </w:pPr>
    </w:lvl>
    <w:lvl w:ilvl="3" w:tentative="0">
      <w:start w:val="1"/>
      <w:numFmt w:val="decimal"/>
      <w:lvlText w:val="%4."/>
      <w:lvlJc w:val="left"/>
      <w:pPr>
        <w:ind w:left="1788" w:hanging="420"/>
      </w:pPr>
    </w:lvl>
    <w:lvl w:ilvl="4" w:tentative="0">
      <w:start w:val="1"/>
      <w:numFmt w:val="lowerLetter"/>
      <w:lvlText w:val="%5)"/>
      <w:lvlJc w:val="left"/>
      <w:pPr>
        <w:ind w:left="2208" w:hanging="420"/>
      </w:pPr>
    </w:lvl>
    <w:lvl w:ilvl="5" w:tentative="0">
      <w:start w:val="1"/>
      <w:numFmt w:val="lowerRoman"/>
      <w:lvlText w:val="%6."/>
      <w:lvlJc w:val="right"/>
      <w:pPr>
        <w:ind w:left="2628" w:hanging="420"/>
      </w:pPr>
    </w:lvl>
    <w:lvl w:ilvl="6" w:tentative="0">
      <w:start w:val="1"/>
      <w:numFmt w:val="decimal"/>
      <w:lvlText w:val="%7."/>
      <w:lvlJc w:val="left"/>
      <w:pPr>
        <w:ind w:left="3048" w:hanging="420"/>
      </w:pPr>
    </w:lvl>
    <w:lvl w:ilvl="7" w:tentative="0">
      <w:start w:val="1"/>
      <w:numFmt w:val="lowerLetter"/>
      <w:lvlText w:val="%8)"/>
      <w:lvlJc w:val="left"/>
      <w:pPr>
        <w:ind w:left="3468" w:hanging="420"/>
      </w:pPr>
    </w:lvl>
    <w:lvl w:ilvl="8" w:tentative="0">
      <w:start w:val="1"/>
      <w:numFmt w:val="lowerRoman"/>
      <w:lvlText w:val="%9."/>
      <w:lvlJc w:val="right"/>
      <w:pPr>
        <w:ind w:left="3888" w:hanging="420"/>
      </w:pPr>
    </w:lvl>
  </w:abstractNum>
  <w:abstractNum w:abstractNumId="1">
    <w:nsid w:val="6A4A61EE"/>
    <w:multiLevelType w:val="multilevel"/>
    <w:tmpl w:val="6A4A61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A"/>
    <w:rsid w:val="00020F64"/>
    <w:rsid w:val="00052713"/>
    <w:rsid w:val="00067860"/>
    <w:rsid w:val="000F4632"/>
    <w:rsid w:val="001860F4"/>
    <w:rsid w:val="00194FB2"/>
    <w:rsid w:val="00317A50"/>
    <w:rsid w:val="00337357"/>
    <w:rsid w:val="00380D92"/>
    <w:rsid w:val="00396656"/>
    <w:rsid w:val="003B542D"/>
    <w:rsid w:val="003C38FA"/>
    <w:rsid w:val="003C46B8"/>
    <w:rsid w:val="003D2AD0"/>
    <w:rsid w:val="00422B74"/>
    <w:rsid w:val="004414B4"/>
    <w:rsid w:val="004847BE"/>
    <w:rsid w:val="004A5CFD"/>
    <w:rsid w:val="004D3CB3"/>
    <w:rsid w:val="004E0ED0"/>
    <w:rsid w:val="00514377"/>
    <w:rsid w:val="00526217"/>
    <w:rsid w:val="00541719"/>
    <w:rsid w:val="00561080"/>
    <w:rsid w:val="00582407"/>
    <w:rsid w:val="005B5694"/>
    <w:rsid w:val="005B56C0"/>
    <w:rsid w:val="005E67B8"/>
    <w:rsid w:val="005F533E"/>
    <w:rsid w:val="00660F46"/>
    <w:rsid w:val="00770F09"/>
    <w:rsid w:val="00791880"/>
    <w:rsid w:val="007B3A75"/>
    <w:rsid w:val="007F13CA"/>
    <w:rsid w:val="00835561"/>
    <w:rsid w:val="00887396"/>
    <w:rsid w:val="008935A1"/>
    <w:rsid w:val="00893EB3"/>
    <w:rsid w:val="008D4A2B"/>
    <w:rsid w:val="0090371F"/>
    <w:rsid w:val="0096094A"/>
    <w:rsid w:val="009729EE"/>
    <w:rsid w:val="009D307E"/>
    <w:rsid w:val="009E4EC9"/>
    <w:rsid w:val="00A127BF"/>
    <w:rsid w:val="00A2173F"/>
    <w:rsid w:val="00A308FA"/>
    <w:rsid w:val="00A30CC4"/>
    <w:rsid w:val="00A45236"/>
    <w:rsid w:val="00A73FC8"/>
    <w:rsid w:val="00A74D18"/>
    <w:rsid w:val="00AB7313"/>
    <w:rsid w:val="00AC42A0"/>
    <w:rsid w:val="00AC7982"/>
    <w:rsid w:val="00B64571"/>
    <w:rsid w:val="00B73F1B"/>
    <w:rsid w:val="00B7785E"/>
    <w:rsid w:val="00BB154C"/>
    <w:rsid w:val="00BF7502"/>
    <w:rsid w:val="00C11C9C"/>
    <w:rsid w:val="00C173A5"/>
    <w:rsid w:val="00C50D56"/>
    <w:rsid w:val="00C534B6"/>
    <w:rsid w:val="00CA0C50"/>
    <w:rsid w:val="00CA16C7"/>
    <w:rsid w:val="00CE5AD5"/>
    <w:rsid w:val="00CF38FB"/>
    <w:rsid w:val="00CF5B9E"/>
    <w:rsid w:val="00D5331C"/>
    <w:rsid w:val="00DC55A0"/>
    <w:rsid w:val="00DE36A7"/>
    <w:rsid w:val="00DF23DD"/>
    <w:rsid w:val="00E20CC1"/>
    <w:rsid w:val="00E3049D"/>
    <w:rsid w:val="00E41910"/>
    <w:rsid w:val="00E45E81"/>
    <w:rsid w:val="00E65614"/>
    <w:rsid w:val="00EC5B69"/>
    <w:rsid w:val="00F46CA5"/>
    <w:rsid w:val="00F52616"/>
    <w:rsid w:val="00F52E1F"/>
    <w:rsid w:val="00FA10A4"/>
    <w:rsid w:val="00FA326C"/>
    <w:rsid w:val="00FD20AC"/>
    <w:rsid w:val="00FD7F65"/>
    <w:rsid w:val="00FE157C"/>
    <w:rsid w:val="0A091D55"/>
    <w:rsid w:val="0F467D0B"/>
    <w:rsid w:val="10732BC6"/>
    <w:rsid w:val="13133B2D"/>
    <w:rsid w:val="16FC37ED"/>
    <w:rsid w:val="287E46D4"/>
    <w:rsid w:val="4194768D"/>
    <w:rsid w:val="4E991351"/>
    <w:rsid w:val="58733D81"/>
    <w:rsid w:val="68474D1D"/>
    <w:rsid w:val="69DF1E95"/>
    <w:rsid w:val="7CF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spacing w:line="360" w:lineRule="auto"/>
      <w:ind w:firstLine="420" w:firstLineChars="200"/>
    </w:pPr>
    <w:rPr>
      <w:sz w:val="28"/>
    </w:rPr>
  </w:style>
  <w:style w:type="character" w:customStyle="1" w:styleId="12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table" w:customStyle="1" w:styleId="15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541</Characters>
  <Lines>4</Lines>
  <Paragraphs>1</Paragraphs>
  <TotalTime>115</TotalTime>
  <ScaleCrop>false</ScaleCrop>
  <LinksUpToDate>false</LinksUpToDate>
  <CharactersWithSpaces>634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2017-08-29T08:20:00Z</dcterms:created>
  <dc:creator>张安超</dc:creator>
  <cp:lastModifiedBy>温唇°sunshine</cp:lastModifiedBy>
  <cp:lastPrinted>2017-08-29T08:25:00Z</cp:lastPrinted>
  <dcterms:modified xsi:type="dcterms:W3CDTF">2020-05-31T05:18:52Z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